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259"/>
        <w:gridCol w:w="4175"/>
      </w:tblGrid>
      <w:tr w:rsidR="00C15174" w:rsidTr="00C15174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C15174" w:rsidRDefault="00C151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C15174" w:rsidRDefault="00C151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111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сакырылыш</w:t>
            </w:r>
            <w:proofErr w:type="spellEnd"/>
          </w:p>
          <w:p w:rsidR="00C15174" w:rsidRDefault="00C151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 МУНИЦИПАЛЬ РАЙОН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ЫНЫҢ МИРНЫЙ АУЫЛ </w:t>
            </w:r>
            <w:r>
              <w:rPr>
                <w:rFonts w:ascii="Times New Roman" w:hAnsi="Times New Roman"/>
                <w:b/>
                <w:bCs/>
              </w:rPr>
              <w:t xml:space="preserve"> СОВЕТ</w:t>
            </w:r>
            <w:r>
              <w:rPr>
                <w:rFonts w:ascii="Times New Roman" w:hAnsi="Times New Roman"/>
                <w:b/>
                <w:bCs/>
                <w:lang w:val="be-BY"/>
              </w:rPr>
              <w:t>Ы АУЫЛ БИЛӘМӘҺЕ СОВЕТ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15174" w:rsidRDefault="00C151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AC5F7F0" wp14:editId="578048F1">
                  <wp:extent cx="846455" cy="9893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hideMark/>
          </w:tcPr>
          <w:p w:rsidR="00C15174" w:rsidRDefault="00C151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БАШКОРТОСТАН</w:t>
            </w:r>
          </w:p>
          <w:p w:rsidR="00C15174" w:rsidRDefault="00C151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C15174" w:rsidRDefault="00C151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111 созыва</w:t>
            </w:r>
          </w:p>
        </w:tc>
      </w:tr>
      <w:tr w:rsidR="00C15174" w:rsidTr="00C15174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15174" w:rsidRDefault="00C151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 Мирный  </w:t>
            </w:r>
            <w:proofErr w:type="spellStart"/>
            <w:r>
              <w:rPr>
                <w:rFonts w:ascii="Times New Roman" w:hAnsi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Еңеү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</w:rPr>
              <w:t>, 2</w:t>
            </w:r>
          </w:p>
          <w:p w:rsidR="00C15174" w:rsidRDefault="00C151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15174" w:rsidRDefault="00C151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15174" w:rsidRDefault="00C151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с. </w:t>
            </w:r>
            <w:proofErr w:type="gramStart"/>
            <w:r>
              <w:rPr>
                <w:rFonts w:ascii="Times New Roman" w:hAnsi="Times New Roman"/>
                <w:bCs/>
              </w:rPr>
              <w:t>Мирный</w:t>
            </w:r>
            <w:proofErr w:type="gramEnd"/>
            <w:r>
              <w:rPr>
                <w:rFonts w:ascii="Times New Roman" w:hAnsi="Times New Roman"/>
                <w:bCs/>
              </w:rPr>
              <w:t>, ул. Победы, 2</w:t>
            </w:r>
          </w:p>
          <w:p w:rsidR="00C15174" w:rsidRDefault="00C151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</w:tr>
    </w:tbl>
    <w:p w:rsidR="00C15174" w:rsidRDefault="00C15174" w:rsidP="00C151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КАРАР                                                                                                                      РЕШЕНИЕ                                                                                                  </w:t>
      </w:r>
    </w:p>
    <w:p w:rsidR="00C15174" w:rsidRDefault="00C15174" w:rsidP="00C15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174" w:rsidRDefault="00C15174" w:rsidP="00C1517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УСТАНОВЛЕНИИ ЗЕМЕЛЬНОГО НАЛОГА НА ТЕРРИТОРИИ</w:t>
      </w:r>
    </w:p>
    <w:p w:rsidR="00C15174" w:rsidRDefault="00C15174" w:rsidP="00C1517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СЕЛЬСКОГО ПОСЕЛЕНИЯ МИРНОВСКИЙ СЕЛЬСОВЕТ МУНИЦИПАЛЬНОГО РАЙОНА БЛАГОВАРСКИЙ РАЙОН</w:t>
      </w:r>
    </w:p>
    <w:p w:rsidR="00C15174" w:rsidRDefault="00C15174" w:rsidP="00C15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РЕСПУБЛИКИ БАШКОРТОСТАН</w:t>
      </w:r>
    </w:p>
    <w:p w:rsidR="00C15174" w:rsidRDefault="00C15174" w:rsidP="00C1517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15174" w:rsidRDefault="00C15174" w:rsidP="00C1517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</w:t>
      </w:r>
      <w:r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  <w:proofErr w:type="gramEnd"/>
    </w:p>
    <w:p w:rsidR="00C15174" w:rsidRDefault="00C15174" w:rsidP="00C1517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Ввести земельный налог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Башкортостан.  </w:t>
      </w:r>
    </w:p>
    <w:p w:rsidR="00C15174" w:rsidRDefault="00C15174" w:rsidP="00C15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Установить налоговые ставки в следующих размерах:</w:t>
      </w:r>
    </w:p>
    <w:p w:rsidR="00C15174" w:rsidRDefault="00C15174" w:rsidP="00C15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>
        <w:rPr>
          <w:rFonts w:ascii="Times New Roman" w:hAnsi="Times New Roman"/>
          <w:b/>
          <w:sz w:val="26"/>
          <w:szCs w:val="26"/>
        </w:rPr>
        <w:t>0,3</w:t>
      </w:r>
      <w:r>
        <w:rPr>
          <w:rFonts w:ascii="Times New Roman" w:hAnsi="Times New Roman"/>
          <w:sz w:val="26"/>
          <w:szCs w:val="26"/>
        </w:rPr>
        <w:t xml:space="preserve"> процента в отношении земельных участков: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занятых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жилищным фондом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объектами инженерной инфраструктуры</w:t>
        </w:r>
      </w:hyperlink>
      <w:r>
        <w:rPr>
          <w:rFonts w:ascii="Times New Roman" w:hAnsi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>
        <w:rPr>
          <w:rFonts w:ascii="Times New Roman" w:hAnsi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ограниченных в обороте в соответствии с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2.2. </w:t>
      </w:r>
      <w:r>
        <w:rPr>
          <w:rFonts w:ascii="Times New Roman" w:hAnsi="Times New Roman"/>
          <w:b/>
          <w:sz w:val="26"/>
          <w:szCs w:val="26"/>
        </w:rPr>
        <w:t>1,5</w:t>
      </w:r>
      <w:r>
        <w:rPr>
          <w:rFonts w:ascii="Times New Roman" w:hAnsi="Times New Roman"/>
          <w:sz w:val="26"/>
          <w:szCs w:val="26"/>
        </w:rPr>
        <w:t xml:space="preserve"> процента в отношении прочих земельных участков.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Установить по земельному налогу следующие налоговые льготы: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1) освободить от уплаты земельного налога следующие категории налогоплательщиков: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а) участников Великой Отечественной войны;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б) ветеранов боевых действий;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в) семьи с тремя и более несовершеннолетними детьми.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Признать утратившими силу решение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от  30.11.2017 года №22-196 «Об установлении земельного налога», решение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от 13.11.2018 №33-282 «О внесении изменений в решение от 30.11.2017 года № 22-196 «Об установлении  земельного налога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район Республики Башкортостан», решение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от 03.07.2018 №29-253 «О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Башкортостан» от 30.11.2017 г. № 22-196.</w:t>
      </w:r>
      <w:proofErr w:type="gramEnd"/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15174" w:rsidRDefault="00C15174" w:rsidP="00C1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7.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C15174" w:rsidRDefault="00C15174" w:rsidP="00C151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</w:t>
      </w:r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Мирновский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Благоварский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 </w:t>
      </w:r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Башкортостан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Г.Р. Насырова</w:t>
      </w:r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ирный</w:t>
      </w:r>
      <w:proofErr w:type="spellEnd"/>
    </w:p>
    <w:p w:rsidR="00C15174" w:rsidRDefault="00C15174" w:rsidP="00C15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26.11.2019 г</w:t>
      </w:r>
    </w:p>
    <w:p w:rsidR="00ED2511" w:rsidRDefault="00C15174" w:rsidP="00C1517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№ 3-26</w:t>
      </w:r>
      <w:bookmarkStart w:id="0" w:name="_GoBack"/>
      <w:bookmarkEnd w:id="0"/>
    </w:p>
    <w:sectPr w:rsidR="00ED2511" w:rsidSect="00C151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4"/>
    <w:rsid w:val="00C15174"/>
    <w:rsid w:val="00E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DA52C0FA6A1B09D01095774E4F4E077498A64AA4867028C6F66BA32A672E475B51FFFD0B0863C4BB56E11D7JB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2020-06-09T03:27:00Z</dcterms:created>
  <dcterms:modified xsi:type="dcterms:W3CDTF">2020-06-09T03:28:00Z</dcterms:modified>
</cp:coreProperties>
</file>